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FORGE Institutional Evaluation</w:t>
        <w:br/>
        <w:t>and Pricing Request</w:t>
      </w:r>
    </w:p>
    <w:p>
      <w:r>
        <w:t>Complete this form to select the products, people and goals for your evaluation. FORGE will confirm access, dates and scope before activation. A complimentary faculty evaluation does not create a purchase obligation.</w:t>
      </w:r>
    </w:p>
    <w:p>
      <w:r>
        <w:rPr>
          <w:b/>
        </w:rPr>
        <w:t xml:space="preserve">Institution and campus  </w:t>
      </w:r>
      <w:sdt>
        <w:sdtPr>
          <w:tag w:val="Institution and campus"/>
          <w:text/>
        </w:sdtPr>
        <w:sdtContent>
          <w:r>
            <w:t>[Enter response]</w:t>
          </w:r>
        </w:sdtContent>
      </w:sdt>
    </w:p>
    <w:p>
      <w:r>
        <w:rPr>
          <w:b/>
        </w:rPr>
        <w:t xml:space="preserve">Respiratory care program  </w:t>
      </w:r>
      <w:sdt>
        <w:sdtPr>
          <w:tag w:val="Respiratory care program"/>
          <w:text/>
        </w:sdtPr>
        <w:sdtContent>
          <w:r>
            <w:t>[Enter response]</w:t>
          </w:r>
        </w:sdtContent>
      </w:sdt>
    </w:p>
    <w:p>
      <w:r>
        <w:rPr>
          <w:b/>
        </w:rPr>
        <w:t xml:space="preserve">Primary contact and title  </w:t>
      </w:r>
      <w:sdt>
        <w:sdtPr>
          <w:tag w:val="Primary contact and title"/>
          <w:text/>
        </w:sdtPr>
        <w:sdtContent>
          <w:r>
            <w:t>[Enter response]</w:t>
          </w:r>
        </w:sdtContent>
      </w:sdt>
    </w:p>
    <w:p>
      <w:r>
        <w:rPr>
          <w:b/>
        </w:rPr>
        <w:t xml:space="preserve">Email and phone  </w:t>
      </w:r>
      <w:sdt>
        <w:sdtPr>
          <w:tag w:val="Email and phone"/>
          <w:text/>
        </w:sdtPr>
        <w:sdtContent>
          <w:r>
            <w:t>[Enter response]</w:t>
          </w:r>
        </w:sdtContent>
      </w:sdt>
    </w:p>
    <w:p>
      <w:r>
        <w:rPr>
          <w:b/>
        </w:rPr>
        <w:t xml:space="preserve">Requested start date  </w:t>
      </w:r>
      <w:sdt>
        <w:sdtPr>
          <w:tag w:val="Requested start date"/>
          <w:text/>
        </w:sdtPr>
        <w:sdtContent>
          <w:r>
            <w:t>[Enter response]</w:t>
          </w:r>
        </w:sdtContent>
      </w:sdt>
    </w:p>
    <w:p>
      <w:r>
        <w:rPr>
          <w:b/>
        </w:rPr>
        <w:t xml:space="preserve">Requested end date  </w:t>
      </w:r>
      <w:sdt>
        <w:sdtPr>
          <w:tag w:val="Requested end date"/>
          <w:text/>
        </w:sdtPr>
        <w:sdtContent>
          <w:r>
            <w:t>[Enter response]</w:t>
          </w:r>
        </w:sdtContent>
      </w:sdt>
    </w:p>
    <w:p>
      <w:pPr>
        <w:pStyle w:val="Heading1"/>
      </w:pPr>
      <w:r>
        <w:t>Choose the evaluation</w:t>
      </w:r>
    </w:p>
    <w:p>
      <w:r>
        <w:t>☐ Complimentary faculty evaluation — 30 consecutive days, up to 3 named faculty or administrators, fictional demonstration data, no student rollout and no automatic billing. Fee $0.</w:t>
      </w:r>
    </w:p>
    <w:p>
      <w:r>
        <w:t>☐ Classroom pilot — 60 days, up to 25 named students and 3 faculty. Academy $500; add RT Program Ready for $250; combined pilot $750. Requires a signed pilot scope before student activation.</w:t>
      </w:r>
    </w:p>
    <w:p>
      <w:pPr>
        <w:pStyle w:val="Heading1"/>
      </w:pPr>
      <w:r>
        <w:t>Select the products to evaluate</w:t>
      </w:r>
    </w:p>
    <w:tbl>
      <w:tblPr>
        <w:tblW w:type="auto" w:w="0"/>
        <w:jc w:val="center"/>
        <w:tblLayout w:type="fixed"/>
        <w:tblLook w:firstColumn="1" w:firstRow="1" w:lastColumn="0" w:lastRow="0" w:noHBand="0" w:noVBand="1" w:val="04A0"/>
      </w:tblPr>
      <w:tblGrid>
        <w:gridCol w:w="648"/>
        <w:gridCol w:w="3024"/>
        <w:gridCol w:w="6552"/>
      </w:tblGrid>
      <w:tr>
        <w:trPr>
          <w:cantSplit/>
          <w:tblHeader/>
        </w:trPr>
        <w:tc>
          <w:tcPr>
            <w:tcW w:type="dxa" w:w="64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163746"/>
          </w:tcPr>
          <w:p>
            <w:pPr>
              <w:spacing w:after="40" w:before="40"/>
            </w:pPr>
            <w:r>
              <w:rPr>
                <w:b/>
                <w:color w:val="FFFFFF"/>
                <w:sz w:val="19"/>
              </w:rPr>
            </w:r>
          </w:p>
        </w:tc>
        <w:tc>
          <w:tcPr>
            <w:tcW w:type="dxa" w:w="30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163746"/>
          </w:tcPr>
          <w:p>
            <w:pPr>
              <w:spacing w:after="40" w:before="40"/>
            </w:pPr>
            <w:r>
              <w:rPr>
                <w:b/>
                <w:color w:val="FFFFFF"/>
                <w:sz w:val="19"/>
              </w:rPr>
              <w:t>Product</w:t>
            </w:r>
          </w:p>
        </w:tc>
        <w:tc>
          <w:tcPr>
            <w:tcW w:type="dxa" w:w="65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163746"/>
          </w:tcPr>
          <w:p>
            <w:pPr>
              <w:spacing w:after="40" w:before="40"/>
            </w:pPr>
            <w:r>
              <w:rPr>
                <w:b/>
                <w:color w:val="FFFFFF"/>
                <w:sz w:val="19"/>
              </w:rPr>
              <w:t>Evaluation focus</w:t>
            </w:r>
          </w:p>
        </w:tc>
      </w:tr>
      <w:tr>
        <w:trPr>
          <w:cantSplit/>
        </w:trPr>
        <w:tc>
          <w:tcPr>
            <w:tcW w:type="dxa" w:w="64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3F6F7"/>
          </w:tcPr>
          <w:p>
            <w:pPr>
              <w:spacing w:after="40" w:before="40"/>
            </w:pPr>
            <w:r>
              <w:rPr>
                <w:sz w:val="19"/>
              </w:rPr>
              <w:t>☐</w:t>
            </w:r>
          </w:p>
        </w:tc>
        <w:tc>
          <w:tcPr>
            <w:tcW w:type="dxa" w:w="30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3F6F7"/>
          </w:tcPr>
          <w:p>
            <w:pPr>
              <w:spacing w:after="40" w:before="40"/>
            </w:pPr>
            <w:r>
              <w:rPr>
                <w:sz w:val="19"/>
              </w:rPr>
              <w:t>FORGE Academy RT Ready</w:t>
            </w:r>
          </w:p>
        </w:tc>
        <w:tc>
          <w:tcPr>
            <w:tcW w:type="dxa" w:w="65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3F6F7"/>
          </w:tcPr>
          <w:p>
            <w:pPr>
              <w:spacing w:after="40" w:before="40"/>
            </w:pPr>
            <w:r>
              <w:rPr>
                <w:sz w:val="19"/>
              </w:rPr>
              <w:t>Lessons, assignments, unit reviews, practice exams, results and targeted follow-up</w:t>
            </w:r>
          </w:p>
        </w:tc>
      </w:tr>
      <w:tr>
        <w:trPr>
          <w:cantSplit/>
        </w:trPr>
        <w:tc>
          <w:tcPr>
            <w:tcW w:type="dxa" w:w="64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sz w:val="19"/>
              </w:rPr>
              <w:t>☐</w:t>
            </w:r>
          </w:p>
        </w:tc>
        <w:tc>
          <w:tcPr>
            <w:tcW w:type="dxa" w:w="30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sz w:val="19"/>
              </w:rPr>
              <w:t>RT FORGE clinical cases</w:t>
            </w:r>
          </w:p>
        </w:tc>
        <w:tc>
          <w:tcPr>
            <w:tcW w:type="dxa" w:w="65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sz w:val="19"/>
              </w:rPr>
              <w:t>Clinical decisions, reassessment and available case reports</w:t>
            </w:r>
          </w:p>
        </w:tc>
      </w:tr>
      <w:tr>
        <w:trPr>
          <w:cantSplit/>
        </w:trPr>
        <w:tc>
          <w:tcPr>
            <w:tcW w:type="dxa" w:w="64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3F6F7"/>
          </w:tcPr>
          <w:p>
            <w:pPr>
              <w:spacing w:after="40" w:before="40"/>
            </w:pPr>
            <w:r>
              <w:rPr>
                <w:sz w:val="19"/>
              </w:rPr>
              <w:t>☐</w:t>
            </w:r>
          </w:p>
        </w:tc>
        <w:tc>
          <w:tcPr>
            <w:tcW w:type="dxa" w:w="30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3F6F7"/>
          </w:tcPr>
          <w:p>
            <w:pPr>
              <w:spacing w:after="40" w:before="40"/>
            </w:pPr>
            <w:r>
              <w:rPr>
                <w:sz w:val="19"/>
              </w:rPr>
              <w:t>Ventilator Simulator and Lung Model</w:t>
            </w:r>
          </w:p>
        </w:tc>
        <w:tc>
          <w:tcPr>
            <w:tcW w:type="dxa" w:w="65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3F6F7"/>
          </w:tcPr>
          <w:p>
            <w:pPr>
              <w:spacing w:after="40" w:before="40"/>
            </w:pPr>
            <w:r>
              <w:rPr>
                <w:sz w:val="19"/>
              </w:rPr>
              <w:t>Ventilator settings, physiology and recorded activity where enabled</w:t>
            </w:r>
          </w:p>
        </w:tc>
      </w:tr>
      <w:tr>
        <w:trPr>
          <w:cantSplit/>
        </w:trPr>
        <w:tc>
          <w:tcPr>
            <w:tcW w:type="dxa" w:w="64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sz w:val="19"/>
              </w:rPr>
              <w:t>☐</w:t>
            </w:r>
          </w:p>
        </w:tc>
        <w:tc>
          <w:tcPr>
            <w:tcW w:type="dxa" w:w="30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sz w:val="19"/>
              </w:rPr>
              <w:t>RT Program Ready</w:t>
            </w:r>
          </w:p>
        </w:tc>
        <w:tc>
          <w:tcPr>
            <w:tcW w:type="dxa" w:w="65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sz w:val="19"/>
              </w:rPr>
              <w:t>Standards, evidence review, action plans and reviewer preparation</w:t>
            </w:r>
          </w:p>
        </w:tc>
      </w:tr>
      <w:tr>
        <w:trPr>
          <w:cantSplit/>
        </w:trPr>
        <w:tc>
          <w:tcPr>
            <w:tcW w:type="dxa" w:w="64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3F6F7"/>
          </w:tcPr>
          <w:p>
            <w:pPr>
              <w:spacing w:after="40" w:before="40"/>
            </w:pPr>
            <w:r>
              <w:rPr>
                <w:sz w:val="19"/>
              </w:rPr>
              <w:t>☐</w:t>
            </w:r>
          </w:p>
        </w:tc>
        <w:tc>
          <w:tcPr>
            <w:tcW w:type="dxa" w:w="30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3F6F7"/>
          </w:tcPr>
          <w:p>
            <w:pPr>
              <w:spacing w:after="40" w:before="40"/>
            </w:pPr>
            <w:r>
              <w:rPr>
                <w:sz w:val="19"/>
              </w:rPr>
              <w:t>THINK LIKE AN RT digital book</w:t>
            </w:r>
          </w:p>
        </w:tc>
        <w:tc>
          <w:tcPr>
            <w:tcW w:type="dxa" w:w="65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3F6F7"/>
          </w:tcPr>
          <w:p>
            <w:pPr>
              <w:spacing w:after="40" w:before="40"/>
            </w:pPr>
            <w:r>
              <w:rPr>
                <w:sz w:val="19"/>
              </w:rPr>
              <w:t>Faculty review copy during evaluation; named-cohort licensing with Academy</w:t>
            </w:r>
          </w:p>
        </w:tc>
      </w:tr>
    </w:tbl>
    <w:p>
      <w:r>
        <w:t>RT FORGE cases, the Ventilator Simulator and Lung Model are proposed inclusions with the Academy license. A standalone price, if requested, will be quoted before purchase.</w:t>
      </w:r>
    </w:p>
    <w:p>
      <w:pPr>
        <w:spacing w:before="0" w:after="0" w:line="20" w:lineRule="exact"/>
      </w:pPr>
      <w:r>
        <w:rPr>
          <w:sz w:val="2"/>
        </w:rPr>
        <w:br w:type="page"/>
      </w:r>
    </w:p>
    <w:p>
      <w:pPr>
        <w:pStyle w:val="Heading1"/>
      </w:pPr>
      <w:r>
        <w:t>Access and evaluation plan</w:t>
      </w:r>
    </w:p>
    <w:p>
      <w:r>
        <w:t>Use individual accounts for each person. List staff below and attach an institutional roster only after FORGE confirms the approved student setup. Do not provide passwords, patient information or student grades on this form.</w:t>
      </w:r>
    </w:p>
    <w:p>
      <w:r>
        <w:rPr>
          <w:b/>
        </w:rPr>
        <w:t xml:space="preserve">Faculty accounts requested  </w:t>
      </w:r>
      <w:sdt>
        <w:sdtPr>
          <w:tag w:val="Faculty accounts requested"/>
          <w:text/>
        </w:sdtPr>
        <w:sdtContent>
          <w:r>
            <w:t>[Number up to 3 during evaluation]</w:t>
          </w:r>
        </w:sdtContent>
      </w:sdt>
    </w:p>
    <w:p>
      <w:r>
        <w:rPr>
          <w:b/>
        </w:rPr>
        <w:t xml:space="preserve">Student accounts requested  </w:t>
      </w:r>
      <w:sdt>
        <w:sdtPr>
          <w:tag w:val="Student accounts requested"/>
          <w:text/>
        </w:sdtPr>
        <w:sdtContent>
          <w:r>
            <w:t>[0 for faculty evaluation or up to 25 for classroom pilot]</w:t>
          </w:r>
        </w:sdtContent>
      </w:sdt>
    </w:p>
    <w:p>
      <w:r>
        <w:rPr>
          <w:b/>
        </w:rPr>
        <w:t xml:space="preserve">Cohort name and student count  </w:t>
      </w:r>
      <w:sdt>
        <w:sdtPr>
          <w:tag w:val="Expected annual student count"/>
          <w:text/>
        </w:sdtPr>
        <w:sdtContent>
          <w:r>
            <w:t>[List each cohort and student count]</w:t>
          </w:r>
        </w:sdtContent>
      </w:sdt>
    </w:p>
    <w:p>
      <w:r>
        <w:rPr>
          <w:b/>
        </w:rPr>
        <w:t xml:space="preserve">Cohort access dates  </w:t>
      </w:r>
      <w:sdt>
        <w:sdtPr>
          <w:tag w:val="New students entering each year"/>
          <w:text/>
        </w:sdtPr>
        <w:sdtContent>
          <w:r>
            <w:t>[Enter response]</w:t>
          </w:r>
        </w:sdtContent>
      </w:sdt>
    </w:p>
    <w:p>
      <w:r>
        <w:rPr>
          <w:b/>
        </w:rPr>
        <w:t xml:space="preserve">Program or purchasing decision maker  </w:t>
      </w:r>
      <w:sdt>
        <w:sdtPr>
          <w:tag w:val="Program or purchasing decision maker"/>
          <w:text/>
        </w:sdtPr>
        <w:sdtContent>
          <w:r>
            <w:t>[Enter response]</w:t>
          </w:r>
        </w:sdtContent>
      </w:sdt>
    </w:p>
    <w:p>
      <w:r>
        <w:rPr>
          <w:b/>
        </w:rPr>
        <w:t xml:space="preserve">IT or privacy review contact  </w:t>
      </w:r>
      <w:sdt>
        <w:sdtPr>
          <w:tag w:val="IT or privacy review contact"/>
          <w:text/>
        </w:sdtPr>
        <w:sdtContent>
          <w:r>
            <w:t>[Enter response]</w:t>
          </w:r>
        </w:sdtContent>
      </w:sdt>
    </w:p>
    <w:tbl>
      <w:tblPr>
        <w:tblW w:type="auto" w:w="0"/>
        <w:jc w:val="center"/>
        <w:tblLayout w:type="fixed"/>
        <w:tblLook w:firstColumn="1" w:firstRow="1" w:lastColumn="0" w:lastRow="0" w:noHBand="0" w:noVBand="1" w:val="04A0"/>
      </w:tblPr>
      <w:tblGrid>
        <w:gridCol w:w="2232"/>
        <w:gridCol w:w="3960"/>
        <w:gridCol w:w="4032"/>
      </w:tblGrid>
      <w:tr>
        <w:trPr>
          <w:cantSplit/>
          <w:tblHeader/>
        </w:trPr>
        <w:tc>
          <w:tcPr>
            <w:tcW w:type="dxa" w:w="22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163746"/>
          </w:tcPr>
          <w:p>
            <w:pPr>
              <w:spacing w:after="40" w:before="40"/>
            </w:pPr>
            <w:r>
              <w:rPr>
                <w:b/>
                <w:color w:val="FFFFFF"/>
                <w:sz w:val="19"/>
              </w:rPr>
              <w:t>Name</w:t>
            </w:r>
          </w:p>
        </w:tc>
        <w:tc>
          <w:tcPr>
            <w:tcW w:type="dxa" w:w="396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163746"/>
          </w:tcPr>
          <w:p>
            <w:pPr>
              <w:spacing w:after="40" w:before="40"/>
            </w:pPr>
            <w:r>
              <w:rPr>
                <w:b/>
                <w:color w:val="FFFFFF"/>
                <w:sz w:val="19"/>
              </w:rPr>
              <w:t>Institutional email</w:t>
            </w:r>
          </w:p>
        </w:tc>
        <w:tc>
          <w:tcPr>
            <w:tcW w:type="dxa" w:w="40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163746"/>
          </w:tcPr>
          <w:p>
            <w:pPr>
              <w:spacing w:after="40" w:before="40"/>
            </w:pPr>
            <w:r>
              <w:rPr>
                <w:b/>
                <w:color w:val="FFFFFF"/>
                <w:sz w:val="19"/>
              </w:rPr>
              <w:t>Title and requested access</w:t>
            </w:r>
          </w:p>
        </w:tc>
      </w:tr>
      <w:tr>
        <w:trPr>
          <w:cantSplit/>
        </w:trPr>
        <w:tc>
          <w:tcPr>
            <w:tcW w:type="dxa" w:w="22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3F6F7"/>
          </w:tcPr>
          <w:p>
            <w:pPr>
              <w:spacing w:after="40" w:before="40"/>
            </w:pPr>
            <w:r>
              <w:rPr>
                <w:sz w:val="19"/>
              </w:rPr>
              <w:t>[Name]</w:t>
            </w:r>
          </w:p>
        </w:tc>
        <w:tc>
          <w:tcPr>
            <w:tcW w:type="dxa" w:w="396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3F6F7"/>
          </w:tcPr>
          <w:p>
            <w:pPr>
              <w:spacing w:after="40" w:before="40"/>
            </w:pPr>
            <w:r>
              <w:rPr>
                <w:sz w:val="19"/>
              </w:rPr>
              <w:t>[Email]</w:t>
            </w:r>
          </w:p>
        </w:tc>
        <w:tc>
          <w:tcPr>
            <w:tcW w:type="dxa" w:w="40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3F6F7"/>
          </w:tcPr>
          <w:p>
            <w:pPr>
              <w:spacing w:after="40" w:before="40"/>
            </w:pPr>
            <w:r>
              <w:rPr>
                <w:sz w:val="19"/>
              </w:rPr>
              <w:t>[Faculty / administrator / reviewer]</w:t>
            </w:r>
          </w:p>
        </w:tc>
      </w:tr>
      <w:tr>
        <w:trPr>
          <w:cantSplit/>
        </w:trPr>
        <w:tc>
          <w:tcPr>
            <w:tcW w:type="dxa" w:w="22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sz w:val="19"/>
              </w:rPr>
              <w:t>[Name]</w:t>
            </w:r>
          </w:p>
        </w:tc>
        <w:tc>
          <w:tcPr>
            <w:tcW w:type="dxa" w:w="396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sz w:val="19"/>
              </w:rPr>
              <w:t>[Email]</w:t>
            </w:r>
          </w:p>
        </w:tc>
        <w:tc>
          <w:tcPr>
            <w:tcW w:type="dxa" w:w="40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sz w:val="19"/>
              </w:rPr>
              <w:t>[Faculty / administrator / reviewer]</w:t>
            </w:r>
          </w:p>
        </w:tc>
      </w:tr>
      <w:tr>
        <w:trPr>
          <w:cantSplit/>
        </w:trPr>
        <w:tc>
          <w:tcPr>
            <w:tcW w:type="dxa" w:w="22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3F6F7"/>
          </w:tcPr>
          <w:p>
            <w:pPr>
              <w:spacing w:after="40" w:before="40"/>
            </w:pPr>
            <w:r>
              <w:rPr>
                <w:sz w:val="19"/>
              </w:rPr>
              <w:t>[Name]</w:t>
            </w:r>
          </w:p>
        </w:tc>
        <w:tc>
          <w:tcPr>
            <w:tcW w:type="dxa" w:w="396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3F6F7"/>
          </w:tcPr>
          <w:p>
            <w:pPr>
              <w:spacing w:after="40" w:before="40"/>
            </w:pPr>
            <w:r>
              <w:rPr>
                <w:sz w:val="19"/>
              </w:rPr>
              <w:t>[Email]</w:t>
            </w:r>
          </w:p>
        </w:tc>
        <w:tc>
          <w:tcPr>
            <w:tcW w:type="dxa" w:w="40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3F6F7"/>
          </w:tcPr>
          <w:p>
            <w:pPr>
              <w:spacing w:after="40" w:before="40"/>
            </w:pPr>
            <w:r>
              <w:rPr>
                <w:sz w:val="19"/>
              </w:rPr>
              <w:t>[Faculty / administrator / reviewer]</w:t>
            </w:r>
          </w:p>
        </w:tc>
      </w:tr>
    </w:tbl>
    <w:p>
      <w:r>
        <w:t>For RT Program Ready, identify who may edit evidence and who needs read-only review. FORGE will confirm the available role permissions. Separate approval is required for institutional connectors or external reviewer access.</w:t>
      </w:r>
    </w:p>
    <w:p>
      <w:pPr>
        <w:pStyle w:val="Heading1"/>
      </w:pPr>
      <w:r>
        <w:t>Agree on a useful evaluation</w:t>
      </w:r>
    </w:p>
    <w:p>
      <w:r>
        <w:rPr>
          <w:b/>
        </w:rPr>
        <w:t xml:space="preserve">Course or program need  </w:t>
      </w:r>
      <w:sdt>
        <w:sdtPr>
          <w:tag w:val="Course or program need"/>
          <w:text/>
        </w:sdtPr>
        <w:sdtContent>
          <w:r>
            <w:t>[Enter response]</w:t>
          </w:r>
        </w:sdtContent>
      </w:sdt>
    </w:p>
    <w:p>
      <w:r>
        <w:rPr>
          <w:b/>
        </w:rPr>
        <w:t xml:space="preserve">Success criterion one  </w:t>
      </w:r>
      <w:sdt>
        <w:sdtPr>
          <w:tag w:val="Success criterion one"/>
          <w:text/>
        </w:sdtPr>
        <w:sdtContent>
          <w:r>
            <w:t>[What should faculty be able to do]</w:t>
          </w:r>
        </w:sdtContent>
      </w:sdt>
    </w:p>
    <w:p>
      <w:r>
        <w:rPr>
          <w:b/>
        </w:rPr>
        <w:t xml:space="preserve">Success criterion two  </w:t>
      </w:r>
      <w:sdt>
        <w:sdtPr>
          <w:tag w:val="Success criterion two"/>
          <w:text/>
        </w:sdtPr>
        <w:sdtContent>
          <w:r>
            <w:t>[What evidence will show value]</w:t>
          </w:r>
        </w:sdtContent>
      </w:sdt>
    </w:p>
    <w:p>
      <w:r>
        <w:rPr>
          <w:b/>
        </w:rPr>
        <w:t xml:space="preserve">Success criterion three  </w:t>
      </w:r>
      <w:sdt>
        <w:sdtPr>
          <w:tag w:val="Success criterion three"/>
          <w:text/>
        </w:sdtPr>
        <w:sdtContent>
          <w:r>
            <w:t>[Optional]</w:t>
          </w:r>
        </w:sdtContent>
      </w:sdt>
    </w:p>
    <w:p>
      <w:r>
        <w:rPr>
          <w:b/>
        </w:rPr>
        <w:t xml:space="preserve">Onboarding date and contact  </w:t>
      </w:r>
      <w:sdt>
        <w:sdtPr>
          <w:tag w:val="Onboarding date and contact"/>
          <w:text/>
        </w:sdtPr>
        <w:sdtContent>
          <w:r>
            <w:t>[Enter response]</w:t>
          </w:r>
        </w:sdtContent>
      </w:sdt>
    </w:p>
    <w:p>
      <w:r>
        <w:rPr>
          <w:b/>
        </w:rPr>
        <w:t xml:space="preserve">Evaluation review meeting date  </w:t>
      </w:r>
      <w:sdt>
        <w:sdtPr>
          <w:tag w:val="Evaluation review meeting date"/>
          <w:text/>
        </w:sdtPr>
        <w:sdtContent>
          <w:r>
            <w:t>[Enter response]</w:t>
          </w:r>
        </w:sdtContent>
      </w:sdt>
    </w:p>
    <w:p>
      <w:r>
        <w:rPr>
          <w:b/>
        </w:rPr>
        <w:t xml:space="preserve">Required purchasing or IT steps  </w:t>
      </w:r>
      <w:sdt>
        <w:sdtPr>
          <w:tag w:val="Required purchasing or IT steps"/>
          <w:text/>
        </w:sdtPr>
        <w:sdtContent>
          <w:r>
            <w:t>[Enter response]</w:t>
          </w:r>
        </w:sdtContent>
      </w:sdt>
    </w:p>
    <w:p>
      <w:pPr>
        <w:pStyle w:val="Heading1"/>
      </w:pPr>
      <w:r>
        <w:t>Support included</w:t>
      </w:r>
    </w:p>
    <w:p>
      <w:r>
        <w:t>One remote onboarding session, help with initial access and assignment setup, and business-hours email support are included. Support hours and the contact route will be confirmed at activation. Custom development, LMS integration, institutional connectors and on-site services require a separate written scope and quote.</w:t>
      </w:r>
    </w:p>
    <w:p>
      <w:r>
        <w:t>The evaluation will use fictional data unless the institution and FORGE first agree on authorized data use and any required privacy or security terms. Riverside and the DEMO ONLY Class are demonstration environments, not the school’s production records.</w:t>
      </w:r>
    </w:p>
    <w:p>
      <w:pPr>
        <w:spacing w:before="0" w:after="0" w:line="20" w:lineRule="exact"/>
      </w:pPr>
      <w:r>
        <w:rPr>
          <w:sz w:val="2"/>
        </w:rPr>
        <w:br w:type="page"/>
      </w:r>
    </w:p>
    <w:p>
      <w:pPr>
        <w:pStyle w:val="Heading1"/>
      </w:pPr>
      <w:r>
        <w:t>Institutional pricing by cohort and program</w:t>
      </w:r>
    </w:p>
    <w:p>
      <w:r>
        <w:t>Prices are in US dollars for one program at one campus. Academy is licensed per named cohort for its agreed start and end dates, including any agreed exam-review period; it is not billed annually. RT Program Ready has a separate 12-month term. An institutional order requires written acceptance by both parties.</w:t>
      </w:r>
    </w:p>
    <w:tbl>
      <w:tblPr>
        <w:tblW w:type="auto" w:w="0"/>
        <w:jc w:val="center"/>
        <w:tblLayout w:type="fixed"/>
        <w:tblLook w:firstColumn="1" w:firstRow="1" w:lastColumn="0" w:lastRow="0" w:noHBand="0" w:noVBand="1" w:val="04A0"/>
      </w:tblPr>
      <w:tblGrid>
        <w:gridCol w:w="648"/>
        <w:gridCol w:w="3096"/>
        <w:gridCol w:w="6480"/>
      </w:tblGrid>
      <w:tr>
        <w:trPr>
          <w:cantSplit/>
          <w:tblHeader/>
        </w:trPr>
        <w:tc>
          <w:tcPr>
            <w:tcW w:type="dxa" w:w="64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163746"/>
          </w:tcPr>
          <w:p>
            <w:pPr>
              <w:spacing w:after="40" w:before="40"/>
            </w:pPr>
            <w:r>
              <w:rPr>
                <w:b/>
                <w:color w:val="FFFFFF"/>
                <w:sz w:val="19"/>
              </w:rPr>
            </w:r>
          </w:p>
        </w:tc>
        <w:tc>
          <w:tcPr>
            <w:tcW w:type="dxa" w:w="309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163746"/>
          </w:tcPr>
          <w:p>
            <w:pPr>
              <w:spacing w:after="40" w:before="40"/>
            </w:pPr>
            <w:r>
              <w:rPr>
                <w:b/>
                <w:color w:val="FFFFFF"/>
                <w:sz w:val="19"/>
              </w:rPr>
              <w:t>License option</w:t>
            </w:r>
          </w:p>
        </w:tc>
        <w:tc>
          <w:tcPr>
            <w:tcW w:type="dxa" w:w="648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163746"/>
          </w:tcPr>
          <w:p>
            <w:pPr>
              <w:spacing w:after="40" w:before="40"/>
            </w:pPr>
            <w:r>
              <w:rPr>
                <w:b/>
                <w:color w:val="FFFFFF"/>
                <w:sz w:val="19"/>
              </w:rPr>
              <w:t>Price and included capacity</w:t>
            </w:r>
          </w:p>
        </w:tc>
      </w:tr>
      <w:tr>
        <w:trPr>
          <w:cantSplit/>
        </w:trPr>
        <w:tc>
          <w:tcPr>
            <w:tcW w:type="dxa" w:w="64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3F6F7"/>
          </w:tcPr>
          <w:p>
            <w:pPr>
              <w:spacing w:after="40" w:before="40"/>
            </w:pPr>
            <w:r>
              <w:rPr>
                <w:sz w:val="19"/>
              </w:rPr>
              <w:t>☐</w:t>
            </w:r>
          </w:p>
        </w:tc>
        <w:tc>
          <w:tcPr>
            <w:tcW w:type="dxa" w:w="309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3F6F7"/>
          </w:tcPr>
          <w:p>
            <w:pPr>
              <w:spacing w:after="40" w:before="40"/>
            </w:pPr>
            <w:r>
              <w:rPr>
                <w:sz w:val="19"/>
              </w:rPr>
              <w:t>Academy education package</w:t>
            </w:r>
          </w:p>
        </w:tc>
        <w:tc>
          <w:tcPr>
            <w:tcW w:type="dxa" w:w="648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3F6F7"/>
          </w:tcPr>
          <w:p>
            <w:pPr>
              <w:spacing w:after="40" w:before="40"/>
            </w:pPr>
            <w:r>
              <w:rPr>
                <w:sz w:val="19"/>
              </w:rPr>
              <w:t>$1,500 per named cohort</w:t>
              <w:br/>
              <w:t>Up to 40 named students and 4 faculty</w:t>
            </w:r>
          </w:p>
        </w:tc>
      </w:tr>
      <w:tr>
        <w:trPr>
          <w:cantSplit/>
        </w:trPr>
        <w:tc>
          <w:tcPr>
            <w:tcW w:type="dxa" w:w="64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sz w:val="19"/>
              </w:rPr>
              <w:t>☐</w:t>
            </w:r>
          </w:p>
        </w:tc>
        <w:tc>
          <w:tcPr>
            <w:tcW w:type="dxa" w:w="309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sz w:val="19"/>
              </w:rPr>
              <w:t>RT Program Ready</w:t>
            </w:r>
          </w:p>
        </w:tc>
        <w:tc>
          <w:tcPr>
            <w:tcW w:type="dxa" w:w="648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sz w:val="19"/>
              </w:rPr>
              <w:t>$1,000 per year</w:t>
              <w:br/>
              <w:t>One program workspace and up to 4 named staff</w:t>
            </w:r>
          </w:p>
        </w:tc>
      </w:tr>
      <w:tr>
        <w:trPr>
          <w:cantSplit/>
        </w:trPr>
        <w:tc>
          <w:tcPr>
            <w:tcW w:type="dxa" w:w="64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3F6F7"/>
          </w:tcPr>
          <w:p>
            <w:pPr>
              <w:spacing w:after="40" w:before="40"/>
            </w:pPr>
            <w:r>
              <w:rPr>
                <w:sz w:val="19"/>
              </w:rPr>
              <w:t>☐</w:t>
            </w:r>
          </w:p>
        </w:tc>
        <w:tc>
          <w:tcPr>
            <w:tcW w:type="dxa" w:w="309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3F6F7"/>
          </w:tcPr>
          <w:p>
            <w:pPr>
              <w:spacing w:after="40" w:before="40"/>
            </w:pPr>
            <w:r>
              <w:rPr>
                <w:sz w:val="19"/>
              </w:rPr>
              <w:t>Complete FORGE package</w:t>
            </w:r>
          </w:p>
        </w:tc>
        <w:tc>
          <w:tcPr>
            <w:tcW w:type="dxa" w:w="648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3F6F7"/>
          </w:tcPr>
          <w:p>
            <w:pPr>
              <w:spacing w:after="40" w:before="40"/>
            </w:pPr>
            <w:r>
              <w:rPr>
                <w:sz w:val="19"/>
              </w:rPr>
              <w:t>$2,500 initial package</w:t>
              <w:br/>
              <w:t>One Academy cohort plus 12 months of RT Program Ready</w:t>
              <w:br/>
              <w:t>Up to 40 named students and 4 faculty or staff across the package</w:t>
            </w:r>
          </w:p>
        </w:tc>
      </w:tr>
      <w:tr>
        <w:trPr>
          <w:cantSplit/>
        </w:trPr>
        <w:tc>
          <w:tcPr>
            <w:tcW w:type="dxa" w:w="64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sz w:val="19"/>
              </w:rPr>
              <w:t>☐</w:t>
            </w:r>
          </w:p>
        </w:tc>
        <w:tc>
          <w:tcPr>
            <w:tcW w:type="dxa" w:w="309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sz w:val="19"/>
              </w:rPr>
              <w:t>Larger or multiple programs</w:t>
            </w:r>
          </w:p>
        </w:tc>
        <w:tc>
          <w:tcPr>
            <w:tcW w:type="dxa" w:w="648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sz w:val="19"/>
              </w:rPr>
              <w:t>Additional Academy cohort: $1,500. Quote for &gt;40 students per cohort, &gt;4 staff, or extra campuses.</w:t>
            </w:r>
          </w:p>
        </w:tc>
      </w:tr>
    </w:tbl>
    <w:p>
      <w:r>
        <w:t>At 40 students, Academy is $37.50 per student for the cohort term. The $2,500 package includes one cohort and one year of Program Ready. Two concurrent cohorts plus one shared Program Ready workspace cost $4,000 initially. No separate student platform fee applies.</w:t>
      </w:r>
    </w:p>
    <w:p>
      <w:pPr>
        <w:pStyle w:val="Heading1"/>
      </w:pPr>
      <w:r>
        <w:t>What the education package includes</w:t>
      </w:r>
    </w:p>
    <w:p>
      <w:r>
        <w:t>Academy includes the available RT lessons, assignments, results, unit reviews, five 160-question NBRC-style practice forms and targeted follow-up, plus RT FORGE cases, the Ventilator Simulator, Lung Model and digital book allocation. RT Program Ready adds standards and evidence organization, review workflows, action plans and reviewer preparation. The accepted order confirms included capabilities.</w:t>
      </w:r>
    </w:p>
    <w:p>
      <w:pPr>
        <w:pStyle w:val="Heading1"/>
      </w:pPr>
      <w:r>
        <w:t>Digital book allocation</w:t>
      </w:r>
    </w:p>
    <w:p>
      <w:r>
        <w:t>Each Academy cohort license includes the designated THINK LIKE AN RT PDF for up to 40 named students plus licensed faculty. Each additional licensed cohort receives its own allocation. Additional recipients require a written quote before distribution.</w:t>
      </w:r>
    </w:p>
    <w:p>
      <w:r>
        <w:t>Recipients may download, retain and print one personal copy. Restricted LMS distribution is permitted only to licensed recipients. Public posting, resale and redistribution are prohibited. Students keep their copies after graduation or platform expiry. Printed books and future editions are excluded unless ordered.</w:t>
      </w:r>
    </w:p>
    <w:p>
      <w:pPr>
        <w:pStyle w:val="Heading1"/>
      </w:pPr>
      <w:r>
        <w:t>Future cohorts, renewal and pilot credit</w:t>
      </w:r>
    </w:p>
    <w:p>
      <w:r>
        <w:t>Launch commitment: the same Academy rate for the initial and next cohort at the same scope, and the same Program Ready rate for its initial year and first annual renewal. Academy access continues for the agreed cohort term without an annual charge. New cohorts and Program Ready renewals require written agreement; no automatic charges.</w:t>
      </w:r>
    </w:p>
    <w:p>
      <w:r>
        <w:t>Credit the paid pilot fee once toward the first institutional order for the evaluated products, accepted within 30 days after the pilot ends. Example: $2,500 package minus $750 combined pilot credit = $1,750 due. Cohort and Program Ready access dates are confirmed separately.</w:t>
      </w:r>
    </w:p>
    <w:p>
      <w:pPr>
        <w:spacing w:before="0" w:after="0" w:line="20" w:lineRule="exact"/>
      </w:pPr>
      <w:r>
        <w:rPr>
          <w:sz w:val="2"/>
        </w:rPr>
        <w:br w:type="page"/>
      </w:r>
    </w:p>
    <w:p>
      <w:pPr>
        <w:pStyle w:val="Heading1"/>
      </w:pPr>
      <w:r>
        <w:t>Evaluation terms and acknowledgment</w:t>
      </w:r>
    </w:p>
    <w:p>
      <w:r>
        <w:t>1  Activation and duration. Access begins on the dates confirmed in writing. The faculty evaluation ends after 30 days; the classroom pilot after 60 days. Academy cohort licenses have agreed cohort start and end dates; Program Ready has a 12-month term. Extensions require written agreement. Evaluation does not convert automatically to a purchase.</w:t>
      </w:r>
    </w:p>
    <w:p>
      <w:r>
        <w:t>2  Evaluation payment. The faculty evaluation is free. A paid classroom pilot begins after its scope and payment arrangements are accepted in writing. Any applicable tax, additional fee or institution-specific service must be shown in the accepted quote. No unlisted setup fee is authorized by this request.</w:t>
      </w:r>
    </w:p>
    <w:p>
      <w:r>
        <w:t>3  Account use. Access is limited to named users. Accounts may not be shared or resold. Academy capacity is up to 40 unique students per named cohort, with each concurrent or entering cohort separately licensed. Seats may not be recycled among cohorts. A person who never activates may be replaced by written request. Additional users require an agreed scope change.</w:t>
      </w:r>
    </w:p>
    <w:p>
      <w:r>
        <w:t>4  Data and permissions. The institution controls who is authorized to access its records. No patient-identifiable data is permitted. Before actual student or institutional records are introduced, both parties must complete any required privacy, security and data-processing arrangements. Upload only material the institution has permission to use. External integrations and access grants are excluded unless separately approved.</w:t>
      </w:r>
    </w:p>
    <w:p>
      <w:r>
        <w:t>5  Product boundaries. Tools support education and evidence organization; they do not guarantee examination or accreditation outcomes. Faculty retain responsibility for curriculum and learner decisions. Fictional case reports are demonstration records; automatic import of live RT FORGE encounters remains unconnected. Simulator activity is not a validated competency score.</w:t>
      </w:r>
    </w:p>
    <w:p>
      <w:r>
        <w:t>6  Materials and ownership. FORGE retains ownership of its software and teaching content. The institution retains ownership of its uploaded records. Evaluation access is temporary and does not grant perpetual software access or ownership. Book retention rights apply to copies licensed under an Academy cohort order; evaluation review copies are for the evaluation period only.</w:t>
      </w:r>
    </w:p>
    <w:p>
      <w:r>
        <w:t>7  Ending the evaluation. Either party may end the evaluation by written notice; access will cease on the agreed end date. Pilot refund or early-termination terms must be stated in the paid pilot order before acceptance. Before uploading actual records, the parties will agree on retention, deletion and available export arrangements. No paid continuation will begin without a separate accepted order.</w:t>
      </w:r>
    </w:p>
    <w:p>
      <w:pPr>
        <w:pStyle w:val="Heading1"/>
      </w:pPr>
      <w:r>
        <w:t>Evaluation selection and approval</w:t>
      </w:r>
    </w:p>
    <w:p>
      <w:r>
        <w:rPr>
          <w:b/>
        </w:rPr>
        <w:t xml:space="preserve">Selected evaluation and products  </w:t>
      </w:r>
      <w:sdt>
        <w:sdtPr>
          <w:tag w:val="Selected evaluation and products"/>
          <w:text/>
        </w:sdtPr>
        <w:sdtContent>
          <w:r>
            <w:t>[Summarize selections from page 1]</w:t>
          </w:r>
        </w:sdtContent>
      </w:sdt>
    </w:p>
    <w:p>
      <w:r>
        <w:rPr>
          <w:b/>
        </w:rPr>
        <w:t xml:space="preserve">Confirmed dates and fee  </w:t>
      </w:r>
      <w:sdt>
        <w:sdtPr>
          <w:tag w:val="Confirmed dates and fee"/>
          <w:text/>
        </w:sdtPr>
        <w:sdtContent>
          <w:r>
            <w:t>[FORGE completes before activation]</w:t>
          </w:r>
        </w:sdtContent>
      </w:sdt>
    </w:p>
    <w:p>
      <w:r>
        <w:rPr>
          <w:b/>
        </w:rPr>
        <w:t xml:space="preserve">Institution representative name and title  </w:t>
      </w:r>
      <w:sdt>
        <w:sdtPr>
          <w:tag w:val="Institution representative name and title"/>
          <w:text/>
        </w:sdtPr>
        <w:sdtContent>
          <w:r>
            <w:t>[Enter response]</w:t>
          </w:r>
        </w:sdtContent>
      </w:sdt>
    </w:p>
    <w:p>
      <w:r>
        <w:rPr>
          <w:b/>
        </w:rPr>
        <w:t xml:space="preserve">Institution signature and date  </w:t>
      </w:r>
      <w:sdt>
        <w:sdtPr>
          <w:tag w:val="Institution signature and date"/>
          <w:text/>
        </w:sdtPr>
        <w:sdtContent>
          <w:r>
            <w:t>[Enter response]</w:t>
          </w:r>
        </w:sdtContent>
      </w:sdt>
    </w:p>
    <w:p>
      <w:r>
        <w:rPr>
          <w:b/>
        </w:rPr>
        <w:t xml:space="preserve">FORGE representative name  </w:t>
      </w:r>
      <w:sdt>
        <w:sdtPr>
          <w:tag w:val="FORGE representative name"/>
          <w:text/>
        </w:sdtPr>
        <w:sdtContent>
          <w:r>
            <w:t>[Mark Cantrell, BAS-SM, RRT-ACCS]</w:t>
          </w:r>
        </w:sdtContent>
      </w:sdt>
    </w:p>
    <w:p>
      <w:r>
        <w:rPr>
          <w:b/>
        </w:rPr>
        <w:t xml:space="preserve">FORGE signature and date  </w:t>
      </w:r>
      <w:sdt>
        <w:sdtPr>
          <w:tag w:val="FORGE signature and date"/>
          <w:text/>
        </w:sdtPr>
        <w:sdtContent>
          <w:r>
            <w:t>[Enter response]</w:t>
          </w:r>
        </w:sdtContent>
      </w:sdt>
    </w:p>
    <w:p>
      <w:r>
        <w:t>Signatures acknowledge the confirmed evaluation only. Cohort licenses, Program Ready subscriptions, book allocations and special services require a separate accepted institutional order.</w:t>
      </w:r>
    </w:p>
    <w:sectPr w:rsidR="00FC693F" w:rsidRPr="0006063C" w:rsidSect="00034616">
      <w:headerReference w:type="default" r:id="rId9"/>
      <w:footerReference w:type="default" r:id="rId10"/>
      <w:pgSz w:w="12240" w:h="15840"/>
      <w:pgMar w:top="936"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Institutional evaluation and proposed pricing  |  November 3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FORGE EDUCATIONAL SYSTEM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40" w:after="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FORGE Institutional Evaluation and Pricing Request</dc:title>
  <dc:subject>Faculty evaluation and institutional pricing</dc:subject>
  <dc:creator>Mark Cantrell</dc:creator>
  <cp:keywords/>
  <dc:description>generated by python-docx</dc:description>
  <cp:lastModifiedBy/>
  <cp:revision>1</cp:revision>
  <dcterms:created xsi:type="dcterms:W3CDTF">2013-12-23T23:15:00Z</dcterms:created>
  <dcterms:modified xsi:type="dcterms:W3CDTF">2013-12-23T23:15:00Z</dcterms:modified>
  <cp:category/>
</cp:coreProperties>
</file>